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5B3" w:rsidRPr="0075721C" w:rsidRDefault="00770FE9" w:rsidP="00EC05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Приложение № 7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5721C">
        <w:rPr>
          <w:rFonts w:ascii="Times New Roman" w:hAnsi="Times New Roman" w:cs="Times New Roman"/>
          <w:b/>
          <w:bCs/>
          <w:sz w:val="24"/>
          <w:szCs w:val="24"/>
        </w:rPr>
        <w:t xml:space="preserve">МЕТОДИКА ЗА ОЦЕНКА НА ОФЕРТИТЕ НА УЧАСТНИЦИТЕ 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EC05B3" w:rsidRPr="0075721C" w:rsidRDefault="00EC05B3" w:rsidP="00EC05B3">
      <w:pPr>
        <w:pStyle w:val="ListParagraph"/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75721C">
        <w:rPr>
          <w:rFonts w:ascii="Times New Roman" w:hAnsi="Times New Roman"/>
          <w:bCs/>
          <w:sz w:val="24"/>
          <w:szCs w:val="24"/>
        </w:rPr>
        <w:t xml:space="preserve">В открита процедура за възлагане на обществена поръчка по реда на ЗОП с обект – доставка и услуга, и с предмет: </w:t>
      </w:r>
      <w:r w:rsidRPr="0075721C">
        <w:rPr>
          <w:rFonts w:ascii="Times New Roman" w:hAnsi="Times New Roman"/>
          <w:b/>
          <w:sz w:val="24"/>
          <w:szCs w:val="24"/>
        </w:rPr>
        <w:t>Абонаментно и сервизно обслужване на офис техника /компютри, преносими компютри, хардуер и софтуер, принтери, скенери, копирни машини, монитори, UPS- устройства, модеми, рутери и др./ включително и доставка на резервни части, материали и консумативи за офис техниката, с</w:t>
      </w:r>
      <w:r w:rsidR="00A20D8C">
        <w:rPr>
          <w:rFonts w:ascii="Times New Roman" w:hAnsi="Times New Roman"/>
          <w:b/>
          <w:sz w:val="24"/>
          <w:szCs w:val="24"/>
        </w:rPr>
        <w:t xml:space="preserve">обственост на ТП „ДГС </w:t>
      </w:r>
      <w:r w:rsidR="0024225C">
        <w:rPr>
          <w:rFonts w:ascii="Times New Roman" w:hAnsi="Times New Roman"/>
          <w:b/>
          <w:sz w:val="24"/>
          <w:szCs w:val="24"/>
        </w:rPr>
        <w:t>Стара река</w:t>
      </w:r>
      <w:r w:rsidR="00CD30E5">
        <w:rPr>
          <w:rFonts w:ascii="Times New Roman" w:hAnsi="Times New Roman"/>
          <w:b/>
          <w:sz w:val="24"/>
          <w:szCs w:val="24"/>
        </w:rPr>
        <w:t>” за срок от 1</w:t>
      </w:r>
      <w:bookmarkStart w:id="0" w:name="_GoBack"/>
      <w:bookmarkEnd w:id="0"/>
      <w:r w:rsidR="00CD30E5">
        <w:rPr>
          <w:rFonts w:ascii="Times New Roman" w:hAnsi="Times New Roman"/>
          <w:b/>
          <w:sz w:val="24"/>
          <w:szCs w:val="24"/>
        </w:rPr>
        <w:t>2</w:t>
      </w:r>
      <w:r w:rsidRPr="0075721C">
        <w:rPr>
          <w:rFonts w:ascii="Times New Roman" w:hAnsi="Times New Roman"/>
          <w:b/>
          <w:sz w:val="24"/>
          <w:szCs w:val="24"/>
        </w:rPr>
        <w:t xml:space="preserve"> месеца"</w:t>
      </w:r>
      <w:r w:rsidRPr="0075721C">
        <w:rPr>
          <w:rFonts w:ascii="Times New Roman" w:hAnsi="Times New Roman"/>
          <w:sz w:val="24"/>
          <w:szCs w:val="24"/>
        </w:rPr>
        <w:t xml:space="preserve"> н</w:t>
      </w:r>
      <w:r w:rsidR="00A20D8C">
        <w:rPr>
          <w:rFonts w:ascii="Times New Roman" w:hAnsi="Times New Roman"/>
          <w:sz w:val="24"/>
          <w:szCs w:val="24"/>
        </w:rPr>
        <w:t xml:space="preserve">а стойност до </w:t>
      </w:r>
      <w:r w:rsidR="0024225C">
        <w:rPr>
          <w:rFonts w:ascii="Times New Roman" w:hAnsi="Times New Roman"/>
          <w:sz w:val="24"/>
          <w:szCs w:val="24"/>
        </w:rPr>
        <w:t>17 400 /седемнадесет хиляди и четиристотин/</w:t>
      </w:r>
      <w:r w:rsidRPr="0075721C">
        <w:rPr>
          <w:rFonts w:ascii="Times New Roman" w:hAnsi="Times New Roman"/>
          <w:sz w:val="24"/>
          <w:szCs w:val="24"/>
        </w:rPr>
        <w:t xml:space="preserve"> лева без ДДС</w:t>
      </w:r>
      <w:r w:rsidRPr="0075721C">
        <w:rPr>
          <w:rFonts w:ascii="Times New Roman" w:hAnsi="Times New Roman"/>
          <w:bCs/>
          <w:sz w:val="24"/>
          <w:szCs w:val="24"/>
        </w:rPr>
        <w:t>.</w:t>
      </w:r>
    </w:p>
    <w:p w:rsidR="00EC05B3" w:rsidRPr="0075721C" w:rsidRDefault="00EC05B3" w:rsidP="00EC05B3">
      <w:pPr>
        <w:keepNext/>
        <w:spacing w:beforeLines="60" w:before="144" w:afterLines="60" w:after="144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sz w:val="24"/>
          <w:szCs w:val="24"/>
        </w:rPr>
        <w:t xml:space="preserve">Обществената поръчка се възлага въз основа на икономически най- изгодната оферта, чрез прилагане на критерия: </w:t>
      </w:r>
      <w:r w:rsidRPr="0075721C">
        <w:rPr>
          <w:rFonts w:ascii="Times New Roman" w:eastAsia="Times New Roman" w:hAnsi="Times New Roman" w:cs="Times New Roman"/>
          <w:b/>
          <w:sz w:val="24"/>
          <w:szCs w:val="24"/>
        </w:rPr>
        <w:t>„оптимално съотношение качество/цена“, в съответствие с чл. 70, ал. 1 и ал. 2, т. 3 от ЗОП.</w:t>
      </w:r>
    </w:p>
    <w:p w:rsidR="00EC05B3" w:rsidRPr="0075721C" w:rsidRDefault="00EC05B3" w:rsidP="00EC05B3">
      <w:pPr>
        <w:keepNext/>
        <w:spacing w:beforeLines="60" w:before="144" w:afterLines="60" w:after="144" w:line="240" w:lineRule="auto"/>
        <w:ind w:firstLine="284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sz w:val="24"/>
          <w:szCs w:val="24"/>
        </w:rPr>
        <w:t>До оценяване се допускат само предложенията, които съответстват на законовите изисквания и Документацията за участие на ВЪЗЛОЖИТЕЛЯ.</w:t>
      </w:r>
    </w:p>
    <w:p w:rsidR="00EC05B3" w:rsidRPr="0075721C" w:rsidRDefault="00EC05B3" w:rsidP="00EC05B3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 xml:space="preserve">Разглеждането, оценката и класирането на офертите се извършва в следната последователност: </w:t>
      </w:r>
    </w:p>
    <w:p w:rsidR="00EC05B3" w:rsidRPr="0075721C" w:rsidRDefault="00EC05B3" w:rsidP="00EC05B3">
      <w:pPr>
        <w:numPr>
          <w:ilvl w:val="1"/>
          <w:numId w:val="1"/>
        </w:numPr>
        <w:tabs>
          <w:tab w:val="clear" w:pos="1440"/>
          <w:tab w:val="num" w:pos="0"/>
          <w:tab w:val="num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 xml:space="preserve">Извършване на техническа оценка – </w:t>
      </w:r>
      <w:r w:rsidRPr="0075721C">
        <w:rPr>
          <w:rFonts w:ascii="Times New Roman" w:eastAsia="Calibri" w:hAnsi="Times New Roman" w:cs="Times New Roman"/>
          <w:b/>
          <w:bCs/>
          <w:sz w:val="24"/>
          <w:szCs w:val="24"/>
        </w:rPr>
        <w:t>ТО с тегловен коефициент 60 % в комплексната оценка;</w:t>
      </w:r>
    </w:p>
    <w:p w:rsidR="00EC05B3" w:rsidRPr="0075721C" w:rsidRDefault="00EC05B3" w:rsidP="00EC05B3">
      <w:pPr>
        <w:numPr>
          <w:ilvl w:val="1"/>
          <w:numId w:val="1"/>
        </w:numPr>
        <w:tabs>
          <w:tab w:val="clear" w:pos="1440"/>
          <w:tab w:val="num" w:pos="0"/>
          <w:tab w:val="num" w:pos="851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 xml:space="preserve">Извършване на финансова оценка - </w:t>
      </w:r>
      <w:r w:rsidRPr="0075721C">
        <w:rPr>
          <w:rFonts w:ascii="Times New Roman" w:eastAsia="Calibri" w:hAnsi="Times New Roman" w:cs="Times New Roman"/>
          <w:b/>
          <w:bCs/>
          <w:sz w:val="24"/>
          <w:szCs w:val="24"/>
        </w:rPr>
        <w:t>ФО с тегловен коефициент 40 % в комплексната оценка;</w:t>
      </w:r>
    </w:p>
    <w:p w:rsidR="00EC05B3" w:rsidRPr="0075721C" w:rsidRDefault="00EC05B3" w:rsidP="00EC05B3">
      <w:pPr>
        <w:tabs>
          <w:tab w:val="left" w:pos="3345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>Комплексната оценка се изчислява по следната формула:</w:t>
      </w: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721C">
        <w:rPr>
          <w:rFonts w:ascii="Times New Roman" w:eastAsia="Calibri" w:hAnsi="Times New Roman" w:cs="Times New Roman"/>
          <w:b/>
          <w:sz w:val="24"/>
          <w:szCs w:val="24"/>
        </w:rPr>
        <w:t>КО = ТО + ФО,</w:t>
      </w: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>Където:</w:t>
      </w: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721C"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r w:rsidRPr="0075721C">
        <w:rPr>
          <w:rFonts w:ascii="Times New Roman" w:eastAsia="Calibri" w:hAnsi="Times New Roman" w:cs="Times New Roman"/>
          <w:b/>
          <w:sz w:val="24"/>
          <w:szCs w:val="24"/>
        </w:rPr>
        <w:t>КО</w:t>
      </w:r>
      <w:r w:rsidRPr="0075721C">
        <w:rPr>
          <w:rFonts w:ascii="Times New Roman" w:eastAsia="Calibri" w:hAnsi="Times New Roman" w:cs="Times New Roman"/>
          <w:b/>
          <w:bCs/>
          <w:sz w:val="24"/>
          <w:szCs w:val="24"/>
        </w:rPr>
        <w:t>”</w:t>
      </w:r>
      <w:r w:rsidRPr="0075721C">
        <w:rPr>
          <w:rFonts w:ascii="Times New Roman" w:eastAsia="Calibri" w:hAnsi="Times New Roman" w:cs="Times New Roman"/>
          <w:sz w:val="24"/>
          <w:szCs w:val="24"/>
        </w:rPr>
        <w:t xml:space="preserve"> е комплексната оценка,</w:t>
      </w: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721C"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r w:rsidRPr="0075721C">
        <w:rPr>
          <w:rFonts w:ascii="Times New Roman" w:eastAsia="Calibri" w:hAnsi="Times New Roman" w:cs="Times New Roman"/>
          <w:b/>
          <w:sz w:val="24"/>
          <w:szCs w:val="24"/>
        </w:rPr>
        <w:t>ТО</w:t>
      </w:r>
      <w:r w:rsidRPr="0075721C">
        <w:rPr>
          <w:rFonts w:ascii="Times New Roman" w:eastAsia="Calibri" w:hAnsi="Times New Roman" w:cs="Times New Roman"/>
          <w:b/>
          <w:bCs/>
          <w:sz w:val="24"/>
          <w:szCs w:val="24"/>
        </w:rPr>
        <w:t>”</w:t>
      </w:r>
      <w:r w:rsidRPr="0075721C">
        <w:rPr>
          <w:rFonts w:ascii="Times New Roman" w:eastAsia="Calibri" w:hAnsi="Times New Roman" w:cs="Times New Roman"/>
          <w:sz w:val="24"/>
          <w:szCs w:val="24"/>
        </w:rPr>
        <w:t xml:space="preserve"> е оценката по показател </w:t>
      </w:r>
      <w:r w:rsidRPr="0075721C">
        <w:rPr>
          <w:rFonts w:ascii="Times New Roman" w:eastAsia="Calibri" w:hAnsi="Times New Roman" w:cs="Times New Roman"/>
          <w:b/>
          <w:sz w:val="24"/>
          <w:szCs w:val="24"/>
        </w:rPr>
        <w:t xml:space="preserve">„Техническо предложение” </w:t>
      </w: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721C">
        <w:rPr>
          <w:rFonts w:ascii="Times New Roman" w:eastAsia="Calibri" w:hAnsi="Times New Roman" w:cs="Times New Roman"/>
          <w:b/>
          <w:bCs/>
          <w:sz w:val="24"/>
          <w:szCs w:val="24"/>
        </w:rPr>
        <w:t>„</w:t>
      </w:r>
      <w:r w:rsidRPr="0075721C">
        <w:rPr>
          <w:rFonts w:ascii="Times New Roman" w:eastAsia="Calibri" w:hAnsi="Times New Roman" w:cs="Times New Roman"/>
          <w:b/>
          <w:sz w:val="24"/>
          <w:szCs w:val="24"/>
        </w:rPr>
        <w:t>ФО</w:t>
      </w:r>
      <w:r w:rsidRPr="0075721C">
        <w:rPr>
          <w:rFonts w:ascii="Times New Roman" w:eastAsia="Calibri" w:hAnsi="Times New Roman" w:cs="Times New Roman"/>
          <w:b/>
          <w:bCs/>
          <w:sz w:val="24"/>
          <w:szCs w:val="24"/>
        </w:rPr>
        <w:t>”</w:t>
      </w:r>
      <w:r w:rsidRPr="0075721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75721C">
        <w:rPr>
          <w:rFonts w:ascii="Times New Roman" w:eastAsia="Calibri" w:hAnsi="Times New Roman" w:cs="Times New Roman"/>
          <w:sz w:val="24"/>
          <w:szCs w:val="24"/>
        </w:rPr>
        <w:t xml:space="preserve">е оценката по показател </w:t>
      </w:r>
      <w:r w:rsidRPr="0075721C">
        <w:rPr>
          <w:rFonts w:ascii="Times New Roman" w:eastAsia="Calibri" w:hAnsi="Times New Roman" w:cs="Times New Roman"/>
          <w:b/>
          <w:sz w:val="24"/>
          <w:szCs w:val="24"/>
        </w:rPr>
        <w:t xml:space="preserve"> „Предлагана цена” </w:t>
      </w: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 xml:space="preserve">На първо място се класира участникът, събрал най-много точки. Максималният брой точки, който може да получи участник е </w:t>
      </w:r>
      <w:r w:rsidRPr="0075721C">
        <w:rPr>
          <w:rFonts w:ascii="Times New Roman" w:eastAsia="Calibri" w:hAnsi="Times New Roman" w:cs="Times New Roman"/>
          <w:b/>
          <w:sz w:val="24"/>
          <w:szCs w:val="24"/>
        </w:rPr>
        <w:t>100 т.</w:t>
      </w: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 xml:space="preserve">Броят на точките за показатели „Техническо предложение” </w:t>
      </w:r>
      <w:r w:rsidRPr="0075721C">
        <w:rPr>
          <w:rFonts w:ascii="Times New Roman" w:eastAsia="Calibri" w:hAnsi="Times New Roman" w:cs="Times New Roman"/>
          <w:bCs/>
          <w:sz w:val="24"/>
          <w:szCs w:val="24"/>
        </w:rPr>
        <w:t xml:space="preserve">и </w:t>
      </w:r>
      <w:r w:rsidRPr="0075721C">
        <w:rPr>
          <w:rFonts w:ascii="Times New Roman" w:eastAsia="Calibri" w:hAnsi="Times New Roman" w:cs="Times New Roman"/>
          <w:sz w:val="24"/>
          <w:szCs w:val="24"/>
        </w:rPr>
        <w:t>„Предлагана цена” се изчисляват по следната методика:</w:t>
      </w: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05B3" w:rsidRPr="0075721C" w:rsidRDefault="00EC05B3" w:rsidP="00EC05B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721C">
        <w:rPr>
          <w:rFonts w:ascii="Times New Roman" w:eastAsia="Calibri" w:hAnsi="Times New Roman" w:cs="Times New Roman"/>
          <w:b/>
          <w:sz w:val="24"/>
          <w:szCs w:val="24"/>
        </w:rPr>
        <w:t>Показател – ”Техническото предложение” (ТО)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721C">
        <w:rPr>
          <w:rFonts w:ascii="Times New Roman" w:eastAsia="Calibri" w:hAnsi="Times New Roman" w:cs="Times New Roman"/>
          <w:b/>
          <w:sz w:val="24"/>
          <w:szCs w:val="24"/>
        </w:rPr>
        <w:t xml:space="preserve">ТО = ТО1 + ТО2 + ТО3 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721C">
        <w:rPr>
          <w:rFonts w:ascii="Times New Roman" w:eastAsia="Calibri" w:hAnsi="Times New Roman" w:cs="Times New Roman"/>
          <w:b/>
          <w:sz w:val="24"/>
          <w:szCs w:val="24"/>
        </w:rPr>
        <w:t>Максимален брой точки</w:t>
      </w:r>
      <w:r w:rsidRPr="0075721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5721C">
        <w:rPr>
          <w:rFonts w:ascii="Times New Roman" w:eastAsia="Calibri" w:hAnsi="Times New Roman" w:cs="Times New Roman"/>
          <w:b/>
          <w:sz w:val="24"/>
          <w:szCs w:val="24"/>
        </w:rPr>
        <w:t xml:space="preserve">60 т. 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5721C">
        <w:rPr>
          <w:rFonts w:ascii="Times New Roman" w:eastAsia="Calibri" w:hAnsi="Times New Roman" w:cs="Times New Roman"/>
          <w:b/>
          <w:i/>
          <w:sz w:val="24"/>
          <w:szCs w:val="24"/>
        </w:rPr>
        <w:t>Показатели: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ТО1 – ”Срок за реакция при отстраняване на възникнал дефект или неизправност на устройство, след уведомление от ВЪЗЛОЖИТЕЛЯ“ 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ТО2 – ”Срок за доставка на консуматив за устройство, след уведомление от ВЪЗЛОЖИТЕЛЯ“ 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ТО3 – </w:t>
      </w:r>
      <w:r w:rsidRPr="0075721C">
        <w:rPr>
          <w:rFonts w:ascii="Times New Roman" w:eastAsia="Times New Roman" w:hAnsi="Times New Roman" w:cs="Times New Roman"/>
          <w:b/>
          <w:sz w:val="24"/>
          <w:szCs w:val="24"/>
        </w:rPr>
        <w:t>„Управление на критични точки“ (УКТ).</w:t>
      </w: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75721C">
        <w:rPr>
          <w:rFonts w:ascii="Times New Roman" w:eastAsia="Calibri" w:hAnsi="Times New Roman" w:cs="Times New Roman"/>
          <w:b/>
          <w:i/>
          <w:sz w:val="24"/>
          <w:szCs w:val="24"/>
        </w:rPr>
        <w:lastRenderedPageBreak/>
        <w:t xml:space="preserve">Точките по елементите от показател „Техническо предложение” („ТО”) ще бъдат присъждани от помощния орган на </w:t>
      </w:r>
      <w:r w:rsidRPr="0075721C">
        <w:rPr>
          <w:rFonts w:ascii="Times New Roman" w:eastAsia="Times New Roman" w:hAnsi="Times New Roman" w:cs="Times New Roman"/>
          <w:b/>
          <w:i/>
          <w:sz w:val="24"/>
          <w:szCs w:val="24"/>
        </w:rPr>
        <w:t>ВЪЗЛОЖИТЕЛЯ</w:t>
      </w:r>
      <w:r w:rsidRPr="0075721C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– оценителната комисия по експертна мотивирана оценка по следния начин:</w:t>
      </w:r>
    </w:p>
    <w:p w:rsidR="00EC05B3" w:rsidRDefault="00EC05B3" w:rsidP="00EC05B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C05B3" w:rsidRPr="0075721C" w:rsidRDefault="00EC05B3" w:rsidP="00EC05B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b/>
          <w:sz w:val="24"/>
          <w:szCs w:val="24"/>
        </w:rPr>
        <w:t xml:space="preserve">І. Показател ТО1 ”Срок за реакция при отстраняване на възникнал дефект или неизправност на устройство, след уведомление от </w:t>
      </w:r>
      <w:r w:rsidRPr="0075721C">
        <w:rPr>
          <w:rFonts w:ascii="Times New Roman" w:eastAsia="Times New Roman" w:hAnsi="Times New Roman" w:cs="Times New Roman"/>
          <w:b/>
          <w:i/>
          <w:sz w:val="24"/>
          <w:szCs w:val="24"/>
        </w:rPr>
        <w:t>ВЪЗЛОЖИТЕЛЯ</w:t>
      </w:r>
      <w:r w:rsidRPr="0075721C">
        <w:rPr>
          <w:rFonts w:ascii="Times New Roman" w:eastAsia="Times New Roman" w:hAnsi="Times New Roman" w:cs="Times New Roman"/>
          <w:b/>
          <w:sz w:val="24"/>
          <w:szCs w:val="24"/>
        </w:rPr>
        <w:t>“ – до 20 т.</w:t>
      </w: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sz w:val="24"/>
          <w:szCs w:val="24"/>
        </w:rPr>
        <w:t>Срокът по този показател се предлага в работни дни.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721C">
        <w:rPr>
          <w:rFonts w:ascii="Times New Roman" w:eastAsia="Calibri" w:hAnsi="Times New Roman" w:cs="Times New Roman"/>
          <w:b/>
          <w:sz w:val="24"/>
          <w:szCs w:val="24"/>
        </w:rPr>
        <w:t>Метод на формиране на оценката: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 xml:space="preserve">оценка </w:t>
      </w:r>
      <w:r w:rsidRPr="0075721C">
        <w:rPr>
          <w:rFonts w:ascii="Times New Roman" w:eastAsia="Calibri" w:hAnsi="Times New Roman" w:cs="Times New Roman"/>
          <w:b/>
          <w:bCs/>
          <w:sz w:val="24"/>
          <w:szCs w:val="24"/>
        </w:rPr>
        <w:t>20 точки</w:t>
      </w:r>
      <w:r w:rsidRPr="0075721C">
        <w:rPr>
          <w:rFonts w:ascii="Times New Roman" w:eastAsia="Calibri" w:hAnsi="Times New Roman" w:cs="Times New Roman"/>
          <w:sz w:val="24"/>
          <w:szCs w:val="24"/>
        </w:rPr>
        <w:t xml:space="preserve"> – Отлично ниво – В техническото си предложение участникът е заложил и обосновал срок, отговарящ на следните четири характеристики: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>•</w:t>
      </w:r>
      <w:r w:rsidRPr="0075721C">
        <w:rPr>
          <w:rFonts w:ascii="Times New Roman" w:eastAsia="Calibri" w:hAnsi="Times New Roman" w:cs="Times New Roman"/>
          <w:sz w:val="24"/>
          <w:szCs w:val="24"/>
        </w:rPr>
        <w:tab/>
        <w:t>Съобразен със спецификата на устройствата, описани в техническото задание;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>•</w:t>
      </w:r>
      <w:r w:rsidRPr="0075721C">
        <w:rPr>
          <w:rFonts w:ascii="Times New Roman" w:eastAsia="Calibri" w:hAnsi="Times New Roman" w:cs="Times New Roman"/>
          <w:sz w:val="24"/>
          <w:szCs w:val="24"/>
        </w:rPr>
        <w:tab/>
        <w:t>Изразен в крайни (работни дни) стойности;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>•</w:t>
      </w:r>
      <w:r w:rsidRPr="0075721C">
        <w:rPr>
          <w:rFonts w:ascii="Times New Roman" w:eastAsia="Calibri" w:hAnsi="Times New Roman" w:cs="Times New Roman"/>
          <w:sz w:val="24"/>
          <w:szCs w:val="24"/>
        </w:rPr>
        <w:tab/>
        <w:t xml:space="preserve">Съобразен с актуалните техники и технологии за отстраняване на дефекти на устройствата, описани в техническото задание; 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>•</w:t>
      </w:r>
      <w:r w:rsidRPr="0075721C">
        <w:rPr>
          <w:rFonts w:ascii="Times New Roman" w:eastAsia="Calibri" w:hAnsi="Times New Roman" w:cs="Times New Roman"/>
          <w:sz w:val="24"/>
          <w:szCs w:val="24"/>
        </w:rPr>
        <w:tab/>
        <w:t xml:space="preserve">Реалистичен, с оглед на спецификата на устройствата, описани в техническото задание.  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 xml:space="preserve">оценка </w:t>
      </w:r>
      <w:r w:rsidRPr="0075721C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Pr="0075721C">
        <w:rPr>
          <w:rFonts w:ascii="Times New Roman" w:eastAsia="Calibri" w:hAnsi="Times New Roman" w:cs="Times New Roman"/>
          <w:b/>
          <w:bCs/>
          <w:sz w:val="24"/>
          <w:szCs w:val="24"/>
        </w:rPr>
        <w:t>0 точки</w:t>
      </w:r>
      <w:r w:rsidRPr="0075721C">
        <w:rPr>
          <w:rFonts w:ascii="Times New Roman" w:eastAsia="Calibri" w:hAnsi="Times New Roman" w:cs="Times New Roman"/>
          <w:sz w:val="24"/>
          <w:szCs w:val="24"/>
        </w:rPr>
        <w:t xml:space="preserve"> – Задоволително ниво – В техническото си предложение участникът е заложил срок, в който е налице едно от следните четири обстоятелства: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>•</w:t>
      </w:r>
      <w:r w:rsidRPr="0075721C">
        <w:rPr>
          <w:rFonts w:ascii="Times New Roman" w:eastAsia="Calibri" w:hAnsi="Times New Roman" w:cs="Times New Roman"/>
          <w:sz w:val="24"/>
          <w:szCs w:val="24"/>
        </w:rPr>
        <w:tab/>
        <w:t>Не е съобразен със спецификата на устройствата, описани в техническото задание;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>•</w:t>
      </w:r>
      <w:r w:rsidRPr="0075721C">
        <w:rPr>
          <w:rFonts w:ascii="Times New Roman" w:eastAsia="Calibri" w:hAnsi="Times New Roman" w:cs="Times New Roman"/>
          <w:sz w:val="24"/>
          <w:szCs w:val="24"/>
        </w:rPr>
        <w:tab/>
        <w:t>Липсва изражение в крайни (работни дни) стойности;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>•</w:t>
      </w:r>
      <w:r w:rsidRPr="0075721C">
        <w:rPr>
          <w:rFonts w:ascii="Times New Roman" w:eastAsia="Calibri" w:hAnsi="Times New Roman" w:cs="Times New Roman"/>
          <w:sz w:val="24"/>
          <w:szCs w:val="24"/>
        </w:rPr>
        <w:tab/>
        <w:t>Съобразен с техники и технологии за отстраняване на дефекти на устройствата, описани в техническото задание, които не са актуални;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>•</w:t>
      </w:r>
      <w:r w:rsidRPr="0075721C">
        <w:rPr>
          <w:rFonts w:ascii="Times New Roman" w:eastAsia="Calibri" w:hAnsi="Times New Roman" w:cs="Times New Roman"/>
          <w:sz w:val="24"/>
          <w:szCs w:val="24"/>
        </w:rPr>
        <w:tab/>
        <w:t xml:space="preserve">Нереалистичен, тъй като не отчита спецификата на устройствата, описани в техническото задание.  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 xml:space="preserve">оценка </w:t>
      </w:r>
      <w:r w:rsidRPr="0075721C">
        <w:rPr>
          <w:rFonts w:ascii="Times New Roman" w:eastAsia="Calibri" w:hAnsi="Times New Roman" w:cs="Times New Roman"/>
          <w:b/>
          <w:bCs/>
          <w:sz w:val="24"/>
          <w:szCs w:val="24"/>
        </w:rPr>
        <w:t>5 точки</w:t>
      </w:r>
      <w:r w:rsidRPr="0075721C">
        <w:rPr>
          <w:rFonts w:ascii="Times New Roman" w:eastAsia="Calibri" w:hAnsi="Times New Roman" w:cs="Times New Roman"/>
          <w:sz w:val="24"/>
          <w:szCs w:val="24"/>
        </w:rPr>
        <w:t xml:space="preserve"> – Слабо ниво – В техническото си предложение участникът е заложил срок, в който са налице две или повече от следните четири обстоятелства: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>•</w:t>
      </w:r>
      <w:r w:rsidRPr="0075721C">
        <w:rPr>
          <w:rFonts w:ascii="Times New Roman" w:eastAsia="Calibri" w:hAnsi="Times New Roman" w:cs="Times New Roman"/>
          <w:sz w:val="24"/>
          <w:szCs w:val="24"/>
        </w:rPr>
        <w:tab/>
        <w:t>Не е съобразен със спецификата на устройствата, описани в техническото задание;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>•</w:t>
      </w:r>
      <w:r w:rsidRPr="0075721C">
        <w:rPr>
          <w:rFonts w:ascii="Times New Roman" w:eastAsia="Calibri" w:hAnsi="Times New Roman" w:cs="Times New Roman"/>
          <w:sz w:val="24"/>
          <w:szCs w:val="24"/>
        </w:rPr>
        <w:tab/>
        <w:t>Липсва изражение в крайни (работни дни) стойности;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>•</w:t>
      </w:r>
      <w:r w:rsidRPr="0075721C">
        <w:rPr>
          <w:rFonts w:ascii="Times New Roman" w:eastAsia="Calibri" w:hAnsi="Times New Roman" w:cs="Times New Roman"/>
          <w:sz w:val="24"/>
          <w:szCs w:val="24"/>
        </w:rPr>
        <w:tab/>
        <w:t>Съобразен с техники и технологии за отстраняване на дефекти на устройствата, описани в техническото задание, които не са актуални;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>•</w:t>
      </w:r>
      <w:r w:rsidRPr="0075721C">
        <w:rPr>
          <w:rFonts w:ascii="Times New Roman" w:eastAsia="Calibri" w:hAnsi="Times New Roman" w:cs="Times New Roman"/>
          <w:sz w:val="24"/>
          <w:szCs w:val="24"/>
        </w:rPr>
        <w:tab/>
        <w:t xml:space="preserve">Нереалистичен, тъй като не отчита спецификата на устройствата, описани в техническото задание.  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721C">
        <w:rPr>
          <w:rFonts w:ascii="Times New Roman" w:eastAsia="Calibri" w:hAnsi="Times New Roman" w:cs="Times New Roman"/>
          <w:b/>
          <w:sz w:val="24"/>
          <w:szCs w:val="24"/>
        </w:rPr>
        <w:t xml:space="preserve">ІІ. Показател ТО2 - ”Срок за доставка на консуматив за устройство, след уведомление от </w:t>
      </w:r>
      <w:r w:rsidRPr="0075721C">
        <w:rPr>
          <w:rFonts w:ascii="Times New Roman" w:eastAsia="Times New Roman" w:hAnsi="Times New Roman" w:cs="Times New Roman"/>
          <w:b/>
          <w:sz w:val="24"/>
          <w:szCs w:val="24"/>
        </w:rPr>
        <w:t>ВЪЗЛОЖИТЕЛЯ</w:t>
      </w:r>
      <w:r w:rsidRPr="0075721C">
        <w:rPr>
          <w:rFonts w:ascii="Times New Roman" w:eastAsia="Calibri" w:hAnsi="Times New Roman" w:cs="Times New Roman"/>
          <w:b/>
          <w:sz w:val="24"/>
          <w:szCs w:val="24"/>
        </w:rPr>
        <w:t>“ – до 20 т.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5721C">
        <w:rPr>
          <w:rFonts w:ascii="Times New Roman" w:eastAsia="Calibri" w:hAnsi="Times New Roman" w:cs="Times New Roman"/>
          <w:sz w:val="24"/>
          <w:szCs w:val="24"/>
        </w:rPr>
        <w:t>Срокът по този показател се предлага в календарни дни.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721C">
        <w:rPr>
          <w:rFonts w:ascii="Times New Roman" w:eastAsia="Calibri" w:hAnsi="Times New Roman" w:cs="Times New Roman"/>
          <w:b/>
          <w:sz w:val="24"/>
          <w:szCs w:val="24"/>
        </w:rPr>
        <w:t>ТО2 = ТО2min /ТО2съотв х 20, където: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721C">
        <w:rPr>
          <w:rFonts w:ascii="Times New Roman" w:eastAsia="Calibri" w:hAnsi="Times New Roman" w:cs="Times New Roman"/>
          <w:b/>
          <w:sz w:val="24"/>
          <w:szCs w:val="24"/>
        </w:rPr>
        <w:t xml:space="preserve">ТО2min – най–краткия предложен срок за доставка на консуматив за устройство, след уведомление от </w:t>
      </w:r>
      <w:r w:rsidRPr="0075721C">
        <w:rPr>
          <w:rFonts w:ascii="Times New Roman" w:eastAsia="Times New Roman" w:hAnsi="Times New Roman" w:cs="Times New Roman"/>
          <w:b/>
          <w:sz w:val="24"/>
          <w:szCs w:val="24"/>
        </w:rPr>
        <w:t>ВЪЗЛОЖИТЕЛЯ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75721C">
        <w:rPr>
          <w:rFonts w:ascii="Times New Roman" w:eastAsia="Calibri" w:hAnsi="Times New Roman" w:cs="Times New Roman"/>
          <w:b/>
          <w:sz w:val="24"/>
          <w:szCs w:val="24"/>
        </w:rPr>
        <w:t xml:space="preserve">ТО2съотв – предложен срок за доставка на консуматив за устройство, след уведомление от </w:t>
      </w:r>
      <w:r w:rsidRPr="0075721C">
        <w:rPr>
          <w:rFonts w:ascii="Times New Roman" w:eastAsia="Times New Roman" w:hAnsi="Times New Roman" w:cs="Times New Roman"/>
          <w:b/>
          <w:sz w:val="24"/>
          <w:szCs w:val="24"/>
        </w:rPr>
        <w:t>ВЪЗЛОЖИТЕЛЯ</w:t>
      </w:r>
    </w:p>
    <w:p w:rsidR="00EC05B3" w:rsidRPr="0075721C" w:rsidRDefault="00EC05B3" w:rsidP="00EC05B3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5721C">
        <w:rPr>
          <w:rFonts w:ascii="Times New Roman" w:eastAsia="Batang" w:hAnsi="Times New Roman" w:cs="Times New Roman"/>
          <w:b/>
          <w:sz w:val="24"/>
          <w:szCs w:val="24"/>
        </w:rPr>
        <w:t xml:space="preserve">ІІІ. </w:t>
      </w:r>
      <w:r w:rsidRPr="0075721C">
        <w:rPr>
          <w:rFonts w:ascii="Times New Roman" w:eastAsia="Times New Roman" w:hAnsi="Times New Roman" w:cs="Times New Roman"/>
          <w:b/>
          <w:sz w:val="24"/>
          <w:szCs w:val="24"/>
        </w:rPr>
        <w:t>Показател</w:t>
      </w:r>
      <w:r w:rsidRPr="0075721C">
        <w:rPr>
          <w:rFonts w:ascii="Times New Roman" w:eastAsia="Calibri" w:hAnsi="Times New Roman" w:cs="Times New Roman"/>
          <w:b/>
          <w:sz w:val="24"/>
          <w:szCs w:val="24"/>
        </w:rPr>
        <w:t xml:space="preserve"> ТО3</w:t>
      </w:r>
      <w:r w:rsidRPr="0075721C">
        <w:rPr>
          <w:rFonts w:ascii="Times New Roman" w:eastAsia="Times New Roman" w:hAnsi="Times New Roman" w:cs="Times New Roman"/>
          <w:b/>
          <w:sz w:val="24"/>
          <w:szCs w:val="24"/>
        </w:rPr>
        <w:t xml:space="preserve"> – „Управление на критични точки“ (УКТ). </w:t>
      </w:r>
      <w:r w:rsidRPr="0075721C">
        <w:rPr>
          <w:rFonts w:ascii="Times New Roman" w:eastAsia="Times New Roman" w:hAnsi="Times New Roman" w:cs="Times New Roman"/>
          <w:sz w:val="24"/>
          <w:szCs w:val="24"/>
        </w:rPr>
        <w:t>Тегловен коефициент – 20 % в комплексната оценка. Максимален брой точки по този показател  е 20 точки.</w:t>
      </w:r>
      <w:r w:rsidRPr="0075721C">
        <w:rPr>
          <w:rFonts w:ascii="Times New Roman" w:eastAsia="Times New Roman" w:hAnsi="Times New Roman" w:cs="Times New Roman"/>
          <w:bCs/>
          <w:sz w:val="24"/>
          <w:szCs w:val="24"/>
        </w:rPr>
        <w:t xml:space="preserve"> Скалата за оценка на Показател РП е тристепенна - 5, 10 и 20 точки.</w:t>
      </w: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sz w:val="24"/>
          <w:szCs w:val="24"/>
        </w:rPr>
        <w:t xml:space="preserve">Оценката по показателя Управление на критични точки се формира на базата на изготвените от всеки участник оценка и предложени мерки за управление на критичните точки, идентифицирани от ВЪЗЛОЖИТЕЛЯ. </w:t>
      </w:r>
    </w:p>
    <w:p w:rsidR="00EC05B3" w:rsidRPr="0075721C" w:rsidRDefault="00EC05B3" w:rsidP="00EC05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EC05B3" w:rsidRPr="0075721C" w:rsidRDefault="00EC05B3" w:rsidP="00EC05B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b/>
          <w:bCs/>
          <w:sz w:val="24"/>
          <w:szCs w:val="24"/>
        </w:rPr>
        <w:t>Метод на формиране на оценката:</w:t>
      </w:r>
    </w:p>
    <w:tbl>
      <w:tblPr>
        <w:tblW w:w="99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371"/>
        <w:gridCol w:w="1009"/>
        <w:gridCol w:w="2549"/>
        <w:gridCol w:w="7"/>
      </w:tblGrid>
      <w:tr w:rsidR="00EC05B3" w:rsidRPr="0075721C" w:rsidTr="00D44F9B">
        <w:trPr>
          <w:gridAfter w:val="1"/>
          <w:wAfter w:w="7" w:type="dxa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5B3" w:rsidRPr="0075721C" w:rsidRDefault="00EC05B3" w:rsidP="00EC05B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5B3" w:rsidRPr="0075721C" w:rsidRDefault="00EC05B3" w:rsidP="00EC05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Оценка</w:t>
            </w:r>
          </w:p>
          <w:p w:rsidR="00EC05B3" w:rsidRPr="0075721C" w:rsidRDefault="00EC05B3" w:rsidP="00EC05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(Точки)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5B3" w:rsidRPr="0075721C" w:rsidRDefault="00EC05B3" w:rsidP="00EC05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Мотиви и аргументи на комисията</w:t>
            </w:r>
          </w:p>
        </w:tc>
      </w:tr>
      <w:tr w:rsidR="00EC05B3" w:rsidRPr="0075721C" w:rsidTr="00D44F9B">
        <w:trPr>
          <w:gridAfter w:val="1"/>
          <w:wAfter w:w="7" w:type="dxa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5B3" w:rsidRPr="0075721C" w:rsidRDefault="00EC05B3" w:rsidP="00EC0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Участникът е направил описание, като са идентифицирани основните проявления, аспекти и сфери, където може да </w:t>
            </w:r>
            <w:r w:rsidRPr="007572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окаже влияние всяка от описаните ,,критични точки“. Направено е описание на мерки за предотвратяване/ преодоляване, управление на посочените ,,критични точки“.</w:t>
            </w:r>
          </w:p>
          <w:p w:rsidR="00EC05B3" w:rsidRPr="0075721C" w:rsidRDefault="00EC05B3" w:rsidP="00EC0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sz w:val="24"/>
                <w:szCs w:val="24"/>
              </w:rPr>
              <w:t>Но е налице най-малко едно от следните обстоятелства:</w:t>
            </w:r>
          </w:p>
          <w:p w:rsidR="00EC05B3" w:rsidRPr="0075721C" w:rsidRDefault="00EC05B3" w:rsidP="00EC0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sz w:val="24"/>
                <w:szCs w:val="24"/>
              </w:rPr>
              <w:t>- В описанието на мерките за предотвратяване/ преодоляване, управление на една или няколко от посочените ,,критични точки“, участникът декларира единствено готовност на свой риск да приеме последиците при възникването на описаните точки – по същество не предлага адекватни мерки за управлението им;</w:t>
            </w:r>
          </w:p>
          <w:p w:rsidR="00EC05B3" w:rsidRPr="0075721C" w:rsidRDefault="00EC05B3" w:rsidP="00EC0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sz w:val="24"/>
                <w:szCs w:val="24"/>
              </w:rPr>
              <w:t>- Предложените мерки за управление на посочените ,,критични точки“, реално не са от естество, позволяващо предотвратяването и/или преодоляването им.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5B3" w:rsidRPr="0075721C" w:rsidRDefault="00EC05B3" w:rsidP="00EC0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5B3" w:rsidRPr="0075721C" w:rsidRDefault="00EC05B3" w:rsidP="00EC0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EC05B3" w:rsidRPr="0075721C" w:rsidTr="00D44F9B">
        <w:trPr>
          <w:gridAfter w:val="1"/>
          <w:wAfter w:w="7" w:type="dxa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5B3" w:rsidRPr="0075721C" w:rsidRDefault="00EC05B3" w:rsidP="00EC0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Участникът е направил описание, като са идентифицирани основните проявления, аспекти и сфери, където може да окаже влияние всяка от описаните ,,критични точки“. Участникът е предложил мерки за недопускане/ предотвратяване настъпването, и съответно дейности по отстраняване и управление на последиците от настъпването на всяка една ,,критична точка“.</w:t>
            </w:r>
          </w:p>
          <w:p w:rsidR="00EC05B3" w:rsidRPr="0075721C" w:rsidRDefault="00EC05B3" w:rsidP="00EC0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sz w:val="24"/>
                <w:szCs w:val="24"/>
              </w:rPr>
              <w:t>Но е налице най-малко едно от следните обстоятелства:</w:t>
            </w:r>
          </w:p>
          <w:p w:rsidR="00EC05B3" w:rsidRPr="0075721C" w:rsidRDefault="00EC05B3" w:rsidP="00EC0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sz w:val="24"/>
                <w:szCs w:val="24"/>
              </w:rPr>
              <w:t>- Не е оценена степента на влияние и и/или вероятност за настъпване на критичните точки или оценките са формално описани без да са обвързани със спецификата на изпълнение</w:t>
            </w:r>
          </w:p>
          <w:p w:rsidR="00EC05B3" w:rsidRPr="0075721C" w:rsidRDefault="00EC05B3" w:rsidP="00EC0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sz w:val="24"/>
                <w:szCs w:val="24"/>
              </w:rPr>
              <w:t>- Предлаганите мерки, организация и предвидени ресурси от участника не гарантират изцяло недопускане и/или ефективно предотвратяване и преодоляване на някоя от ,,критичните точки“, респективно последиците от настъпването ѝ.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5B3" w:rsidRPr="0075721C" w:rsidRDefault="00EC05B3" w:rsidP="00EC0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05B3" w:rsidRPr="0075721C" w:rsidRDefault="00EC05B3" w:rsidP="00EC0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5B3" w:rsidRPr="0075721C" w:rsidRDefault="00EC05B3" w:rsidP="00EC0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05B3" w:rsidRPr="0075721C" w:rsidTr="00D44F9B">
        <w:trPr>
          <w:gridAfter w:val="1"/>
          <w:wAfter w:w="7" w:type="dxa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5B3" w:rsidRPr="0075721C" w:rsidRDefault="00EC05B3" w:rsidP="00EC0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Участникът е обърнал задълбочено внимание на всяка една от ,,критичните точки“ и е в сила всяко едно от следните обстоятелства:</w:t>
            </w:r>
          </w:p>
          <w:p w:rsidR="00EC05B3" w:rsidRPr="0075721C" w:rsidRDefault="00EC05B3" w:rsidP="00EC0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sz w:val="24"/>
                <w:szCs w:val="24"/>
              </w:rPr>
              <w:t>- Участникът е отчел всички възможни аспекти на проявление, области и сфери на влияние, оценил е вероятността за настъпване за всяка от описаните  ,,критични точки“ и е оценил и предвидил степента на въздействието ѝ върху изпълнението на договора за  всяка от дейностите, като оценките съдържат конкретика и са обвързани със спецификата на поръчката;</w:t>
            </w:r>
          </w:p>
          <w:p w:rsidR="00EC05B3" w:rsidRPr="0075721C" w:rsidRDefault="00EC05B3" w:rsidP="00EC05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sz w:val="24"/>
                <w:szCs w:val="24"/>
              </w:rPr>
              <w:t>- Предложени са ефективни и адекватни контролни дейности, организация и ресурси, като всяка една ,,критична точка“ е съпроводена с предложени от Участника конкретни мерки за недопускане/предотвратяване настъпването ѝ, и съответно конкретни адекватни дейности по отстраняване и управление на последиците от настъпилата  ,,критичните точка“.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5B3" w:rsidRPr="0075721C" w:rsidRDefault="00EC05B3" w:rsidP="00EC0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5B3" w:rsidRPr="0075721C" w:rsidRDefault="00EC05B3" w:rsidP="00EC05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C05B3" w:rsidRPr="0075721C" w:rsidTr="00D44F9B">
        <w:tc>
          <w:tcPr>
            <w:tcW w:w="99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05B3" w:rsidRPr="0075721C" w:rsidRDefault="00EC05B3" w:rsidP="00EC05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75721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В случай, че Участник е представил оферта, за която е установено, че в техническото предложение не се съдържа като минимум следното: описание, в което са идентифицирани основните проявления, аспекти и сфери, където може да окаже влияние всеки от идентифицираните от </w:t>
            </w:r>
            <w:r w:rsidRPr="007572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ВЪЗЛОЖИТЕЛЯ</w:t>
            </w:r>
            <w:r w:rsidRPr="0075721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рискове като рискови ,,критични </w:t>
            </w:r>
            <w:r w:rsidRPr="0075721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 xml:space="preserve">точки“, и описание на мерки за предотвратяване/преодоляване управление на посочените от </w:t>
            </w:r>
            <w:r w:rsidRPr="007572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ВЪЗЛОЖИТЕЛЯ </w:t>
            </w:r>
            <w:r w:rsidRPr="0075721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,,критични точки“, се предлага за отстраняване от процедурата.</w:t>
            </w:r>
          </w:p>
        </w:tc>
      </w:tr>
    </w:tbl>
    <w:p w:rsidR="0054555B" w:rsidRDefault="0054555B" w:rsidP="00EC05B3">
      <w:pPr>
        <w:spacing w:after="0" w:line="240" w:lineRule="auto"/>
      </w:pPr>
    </w:p>
    <w:p w:rsidR="00EC05B3" w:rsidRDefault="00EC05B3" w:rsidP="00EC05B3">
      <w:pPr>
        <w:spacing w:after="0" w:line="240" w:lineRule="auto"/>
      </w:pPr>
    </w:p>
    <w:p w:rsidR="00EC05B3" w:rsidRPr="0075721C" w:rsidRDefault="00EC05B3" w:rsidP="00EC05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sz w:val="24"/>
          <w:szCs w:val="24"/>
        </w:rPr>
        <w:t>За целите на прилагане на  настоящата  методика използваните определения следва да се тълкуват както следва:</w:t>
      </w:r>
    </w:p>
    <w:p w:rsidR="00EC05B3" w:rsidRPr="0075721C" w:rsidRDefault="00EC05B3" w:rsidP="00EC05B3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b/>
          <w:iCs/>
          <w:sz w:val="24"/>
          <w:szCs w:val="24"/>
        </w:rPr>
        <w:t>„Ефективен”</w:t>
      </w:r>
      <w:r w:rsidRPr="0075721C">
        <w:rPr>
          <w:rFonts w:ascii="Times New Roman" w:eastAsia="Times New Roman" w:hAnsi="Times New Roman" w:cs="Times New Roman"/>
          <w:iCs/>
          <w:sz w:val="24"/>
          <w:szCs w:val="24"/>
        </w:rPr>
        <w:t xml:space="preserve"> в най-общия смисъл показва отношението на постигнатия резултат спрямо поставената цел. Ефективността е свързана с целесъобразността на действията.</w:t>
      </w:r>
    </w:p>
    <w:p w:rsidR="00EC05B3" w:rsidRPr="0075721C" w:rsidRDefault="00EC05B3" w:rsidP="00EC05B3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b/>
          <w:iCs/>
          <w:sz w:val="24"/>
          <w:szCs w:val="24"/>
        </w:rPr>
        <w:t>„Адекватен”</w:t>
      </w:r>
      <w:r w:rsidRPr="0075721C">
        <w:rPr>
          <w:rFonts w:ascii="Times New Roman" w:eastAsia="Times New Roman" w:hAnsi="Times New Roman" w:cs="Times New Roman"/>
          <w:iCs/>
          <w:sz w:val="24"/>
          <w:szCs w:val="24"/>
        </w:rPr>
        <w:t xml:space="preserve"> -   напълно съответстващ;  отговарящ на нуждите и очакванията</w:t>
      </w:r>
    </w:p>
    <w:p w:rsidR="00EC05B3" w:rsidRPr="0075721C" w:rsidRDefault="00EC05B3" w:rsidP="00EC05B3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b/>
          <w:sz w:val="24"/>
          <w:szCs w:val="24"/>
        </w:rPr>
        <w:t>„Формално”</w:t>
      </w:r>
      <w:r w:rsidRPr="0075721C">
        <w:rPr>
          <w:rFonts w:ascii="Times New Roman" w:eastAsia="Times New Roman" w:hAnsi="Times New Roman" w:cs="Times New Roman"/>
          <w:sz w:val="24"/>
          <w:szCs w:val="24"/>
        </w:rPr>
        <w:t xml:space="preserve"> – немотивирано или ненасочено към конкретната критична точка.</w:t>
      </w:r>
    </w:p>
    <w:p w:rsidR="00EC05B3" w:rsidRPr="0075721C" w:rsidRDefault="00EC05B3" w:rsidP="00EC05B3">
      <w:pPr>
        <w:spacing w:after="0" w:line="240" w:lineRule="auto"/>
        <w:rPr>
          <w:rFonts w:ascii="Times New Roman" w:eastAsia="Times New Roman" w:hAnsi="Times New Roman" w:cs="Times New Roman"/>
          <w:iCs/>
          <w:sz w:val="24"/>
          <w:szCs w:val="24"/>
        </w:rPr>
      </w:pPr>
    </w:p>
    <w:p w:rsidR="00EC05B3" w:rsidRPr="0075721C" w:rsidRDefault="00EC05B3" w:rsidP="00EC05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b/>
          <w:sz w:val="24"/>
          <w:szCs w:val="24"/>
        </w:rPr>
        <w:t xml:space="preserve">Идентифицирани от ВЪЗЛОЖИТЕЛЯ рискове като ,,критични точки'' с висока степен на възможност за поява са: </w:t>
      </w:r>
    </w:p>
    <w:p w:rsidR="00EC05B3" w:rsidRPr="0075721C" w:rsidRDefault="00EC05B3" w:rsidP="00EC05B3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sz w:val="24"/>
          <w:szCs w:val="24"/>
        </w:rPr>
        <w:t>- Спиране или забавяне на изплащанията на дължимите средства по договора, от страна на ВЪЗЛОЖИТЕЛЯ;</w:t>
      </w:r>
    </w:p>
    <w:p w:rsidR="00EC05B3" w:rsidRPr="0075721C" w:rsidRDefault="00EC05B3" w:rsidP="00EC05B3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sz w:val="24"/>
          <w:szCs w:val="24"/>
        </w:rPr>
        <w:t>-Недостатъчна подкрепа от страна на ВЪЗЛОЖИТЕЛЯ към екипа на изпълнителя;</w:t>
      </w:r>
    </w:p>
    <w:p w:rsidR="00EC05B3" w:rsidRPr="0075721C" w:rsidRDefault="00EC05B3" w:rsidP="00EC05B3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sz w:val="24"/>
          <w:szCs w:val="24"/>
        </w:rPr>
        <w:t>-Отсъствие или липса на наличен специалист от екипа на изпълнителя;</w:t>
      </w:r>
    </w:p>
    <w:p w:rsidR="00EC05B3" w:rsidRPr="0075721C" w:rsidRDefault="00EC05B3" w:rsidP="00EC05B3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sz w:val="24"/>
          <w:szCs w:val="24"/>
        </w:rPr>
        <w:t>- Забава при доставка на резервни части и/или консумативи;</w:t>
      </w:r>
    </w:p>
    <w:p w:rsidR="00EC05B3" w:rsidRPr="0075721C" w:rsidRDefault="00EC05B3" w:rsidP="00EC05B3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</w:rPr>
      </w:pPr>
      <w:r w:rsidRPr="0075721C">
        <w:rPr>
          <w:rFonts w:ascii="Times New Roman" w:eastAsia="Times New Roman" w:hAnsi="Times New Roman" w:cs="Times New Roman"/>
          <w:sz w:val="24"/>
          <w:szCs w:val="24"/>
        </w:rPr>
        <w:t>-Риск от загуба на информация.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EC05B3" w:rsidRPr="0075721C" w:rsidRDefault="00EC05B3" w:rsidP="00EC05B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721C">
        <w:rPr>
          <w:rFonts w:ascii="Times New Roman" w:eastAsia="Calibri" w:hAnsi="Times New Roman" w:cs="Times New Roman"/>
          <w:b/>
          <w:sz w:val="24"/>
          <w:szCs w:val="24"/>
        </w:rPr>
        <w:t>Показател – „Предлагана цена” (ФО)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EC05B3" w:rsidRPr="0075721C" w:rsidRDefault="00EC05B3" w:rsidP="00EC05B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5721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Показател „Предлагана цена” – с максимален брой точки </w:t>
      </w:r>
      <w:r w:rsidRPr="0075721C">
        <w:rPr>
          <w:rFonts w:ascii="Times New Roman" w:eastAsia="Calibri" w:hAnsi="Times New Roman" w:cs="Times New Roman"/>
          <w:b/>
          <w:sz w:val="24"/>
          <w:szCs w:val="24"/>
        </w:rPr>
        <w:t>40</w:t>
      </w:r>
      <w:r w:rsidRPr="0075721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т.</w:t>
      </w:r>
      <w:r w:rsidRPr="0075721C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5721C">
        <w:rPr>
          <w:rFonts w:ascii="Times New Roman" w:eastAsia="Calibri" w:hAnsi="Times New Roman" w:cs="Times New Roman"/>
          <w:bCs/>
          <w:sz w:val="24"/>
          <w:szCs w:val="24"/>
        </w:rPr>
        <w:t>По този показател, в образеца на ценово предложение, участникът предлага единични цени на всеки вид доставка или услуга за устройствата, описани в техническото задание. Крайната цена се образува като сбор от предлаганите единични цени на всяка една доставка или услуга.</w:t>
      </w:r>
    </w:p>
    <w:p w:rsidR="00EC05B3" w:rsidRPr="0075721C" w:rsidRDefault="00EC05B3" w:rsidP="00EC05B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5721C">
        <w:rPr>
          <w:rFonts w:ascii="Times New Roman" w:eastAsia="Calibri" w:hAnsi="Times New Roman" w:cs="Times New Roman"/>
          <w:bCs/>
          <w:sz w:val="24"/>
          <w:szCs w:val="24"/>
        </w:rPr>
        <w:t>Максималният брой точки по този показател получава офертата с предлагана най-ниска обща цена – 40 точки. Точките на останалите участници се определят в съотношение към най-ниската предложена цена по следната формула:</w:t>
      </w:r>
    </w:p>
    <w:p w:rsidR="00EC05B3" w:rsidRPr="0075721C" w:rsidRDefault="00EC05B3" w:rsidP="00EC05B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5721C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             Рmin</w:t>
      </w:r>
    </w:p>
    <w:p w:rsidR="00EC05B3" w:rsidRPr="0075721C" w:rsidRDefault="00EC05B3" w:rsidP="00EC05B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5721C">
        <w:rPr>
          <w:rFonts w:ascii="Times New Roman" w:eastAsia="Calibri" w:hAnsi="Times New Roman" w:cs="Times New Roman"/>
          <w:bCs/>
          <w:sz w:val="24"/>
          <w:szCs w:val="24"/>
        </w:rPr>
        <w:t>ФО= 40 х --------, където</w:t>
      </w:r>
    </w:p>
    <w:p w:rsidR="00EC05B3" w:rsidRPr="0075721C" w:rsidRDefault="00EC05B3" w:rsidP="00EC05B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5721C">
        <w:rPr>
          <w:rFonts w:ascii="Times New Roman" w:eastAsia="Calibri" w:hAnsi="Times New Roman" w:cs="Times New Roman"/>
          <w:bCs/>
          <w:sz w:val="24"/>
          <w:szCs w:val="24"/>
        </w:rPr>
        <w:tab/>
        <w:t xml:space="preserve">              Рn</w:t>
      </w:r>
    </w:p>
    <w:p w:rsidR="00EC05B3" w:rsidRPr="0075721C" w:rsidRDefault="00EC05B3" w:rsidP="00EC05B3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75721C">
        <w:rPr>
          <w:rFonts w:ascii="Times New Roman" w:eastAsia="Calibri" w:hAnsi="Times New Roman" w:cs="Times New Roman"/>
          <w:bCs/>
          <w:sz w:val="24"/>
          <w:szCs w:val="24"/>
        </w:rPr>
        <w:t>Рn– цената, предложена от съответния участник;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75721C">
        <w:rPr>
          <w:rFonts w:ascii="Times New Roman" w:eastAsia="Calibri" w:hAnsi="Times New Roman" w:cs="Times New Roman"/>
          <w:bCs/>
          <w:sz w:val="24"/>
          <w:szCs w:val="24"/>
        </w:rPr>
        <w:t>Рmin - предложената минимална цена.</w:t>
      </w: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EC05B3" w:rsidRPr="0075721C" w:rsidRDefault="00EC05B3" w:rsidP="00EC05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721C">
        <w:rPr>
          <w:rFonts w:ascii="Times New Roman" w:hAnsi="Times New Roman" w:cs="Times New Roman"/>
          <w:sz w:val="24"/>
          <w:szCs w:val="24"/>
        </w:rPr>
        <w:t xml:space="preserve">Предложената обща крайна цена за изпълнение на поръчката не следва да превишава общата стойност на услугата и доставката, посочена от </w:t>
      </w:r>
      <w:r w:rsidRPr="0075721C">
        <w:rPr>
          <w:rFonts w:ascii="Times New Roman" w:eastAsia="Times New Roman" w:hAnsi="Times New Roman" w:cs="Times New Roman"/>
          <w:sz w:val="24"/>
          <w:szCs w:val="24"/>
        </w:rPr>
        <w:t>ВЪЗЛОЖИТЕЛЯ</w:t>
      </w:r>
      <w:r w:rsidR="00A20D8C">
        <w:rPr>
          <w:rFonts w:ascii="Times New Roman" w:hAnsi="Times New Roman" w:cs="Times New Roman"/>
          <w:sz w:val="24"/>
          <w:szCs w:val="24"/>
        </w:rPr>
        <w:t xml:space="preserve"> в размер на </w:t>
      </w:r>
      <w:r w:rsidR="0024225C">
        <w:rPr>
          <w:rFonts w:ascii="Times New Roman" w:hAnsi="Times New Roman"/>
          <w:sz w:val="24"/>
          <w:szCs w:val="24"/>
        </w:rPr>
        <w:t>17 400 /седемнадесет хиляди и четиристотин/ лева</w:t>
      </w:r>
      <w:r w:rsidR="00A20D8C">
        <w:rPr>
          <w:rFonts w:ascii="Times New Roman" w:hAnsi="Times New Roman" w:cs="Times New Roman"/>
          <w:sz w:val="24"/>
          <w:szCs w:val="24"/>
        </w:rPr>
        <w:t xml:space="preserve"> без ДДС</w:t>
      </w:r>
      <w:r w:rsidRPr="0075721C">
        <w:rPr>
          <w:rFonts w:ascii="Times New Roman" w:hAnsi="Times New Roman" w:cs="Times New Roman"/>
          <w:sz w:val="24"/>
          <w:szCs w:val="24"/>
        </w:rPr>
        <w:t>. Посочените от участника единични цени остават постоянни за целия период на действие на договора за изпълнение на обществената поръчка, ако участникът бъде избран за изпълнител.</w:t>
      </w:r>
    </w:p>
    <w:p w:rsidR="00EC05B3" w:rsidRDefault="00EC05B3" w:rsidP="00EC05B3">
      <w:pPr>
        <w:spacing w:after="0" w:line="240" w:lineRule="auto"/>
      </w:pPr>
    </w:p>
    <w:sectPr w:rsidR="00EC05B3" w:rsidSect="00EC05B3">
      <w:footerReference w:type="default" r:id="rId7"/>
      <w:pgSz w:w="11906" w:h="16838"/>
      <w:pgMar w:top="567" w:right="127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4B34" w:rsidRDefault="006D4B34" w:rsidP="00EC05B3">
      <w:pPr>
        <w:spacing w:after="0" w:line="240" w:lineRule="auto"/>
      </w:pPr>
      <w:r>
        <w:separator/>
      </w:r>
    </w:p>
  </w:endnote>
  <w:endnote w:type="continuationSeparator" w:id="0">
    <w:p w:rsidR="006D4B34" w:rsidRDefault="006D4B34" w:rsidP="00EC0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05B3" w:rsidRDefault="00EC05B3">
    <w:pPr>
      <w:pStyle w:val="Footer"/>
      <w:jc w:val="center"/>
    </w:pPr>
  </w:p>
  <w:p w:rsidR="00EC05B3" w:rsidRDefault="006D4B34">
    <w:pPr>
      <w:pStyle w:val="Footer"/>
      <w:jc w:val="center"/>
    </w:pPr>
    <w:sdt>
      <w:sdtPr>
        <w:id w:val="-1709558085"/>
        <w:docPartObj>
          <w:docPartGallery w:val="Page Numbers (Bottom of Page)"/>
          <w:docPartUnique/>
        </w:docPartObj>
      </w:sdtPr>
      <w:sdtEndPr/>
      <w:sdtContent>
        <w:r w:rsidR="00EC05B3">
          <w:fldChar w:fldCharType="begin"/>
        </w:r>
        <w:r w:rsidR="00EC05B3">
          <w:instrText>PAGE   \* MERGEFORMAT</w:instrText>
        </w:r>
        <w:r w:rsidR="00EC05B3">
          <w:fldChar w:fldCharType="separate"/>
        </w:r>
        <w:r w:rsidR="00CD30E5">
          <w:rPr>
            <w:noProof/>
          </w:rPr>
          <w:t>4</w:t>
        </w:r>
        <w:r w:rsidR="00EC05B3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4B34" w:rsidRDefault="006D4B34" w:rsidP="00EC05B3">
      <w:pPr>
        <w:spacing w:after="0" w:line="240" w:lineRule="auto"/>
      </w:pPr>
      <w:r>
        <w:separator/>
      </w:r>
    </w:p>
  </w:footnote>
  <w:footnote w:type="continuationSeparator" w:id="0">
    <w:p w:rsidR="006D4B34" w:rsidRDefault="006D4B34" w:rsidP="00EC05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D1FF7"/>
    <w:multiLevelType w:val="hybridMultilevel"/>
    <w:tmpl w:val="41FCE4F6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0D3666"/>
    <w:multiLevelType w:val="hybridMultilevel"/>
    <w:tmpl w:val="56A8032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11AB8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i w:val="0"/>
      </w:rPr>
    </w:lvl>
    <w:lvl w:ilvl="2" w:tplc="040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5B3"/>
    <w:rsid w:val="000F3342"/>
    <w:rsid w:val="00113D44"/>
    <w:rsid w:val="0024225C"/>
    <w:rsid w:val="0054555B"/>
    <w:rsid w:val="00691CAC"/>
    <w:rsid w:val="006D4B34"/>
    <w:rsid w:val="00710FB8"/>
    <w:rsid w:val="00770FE9"/>
    <w:rsid w:val="00852279"/>
    <w:rsid w:val="00A20D8C"/>
    <w:rsid w:val="00CD30E5"/>
    <w:rsid w:val="00E9549B"/>
    <w:rsid w:val="00EC0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F0EF5"/>
  <w15:chartTrackingRefBased/>
  <w15:docId w15:val="{E608C825-9F3F-470B-A5D1-4E32A14CB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5B3"/>
    <w:pPr>
      <w:spacing w:after="200" w:line="276" w:lineRule="auto"/>
    </w:pPr>
    <w:rPr>
      <w:rFonts w:eastAsiaTheme="minorEastAsia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5B3"/>
    <w:pPr>
      <w:spacing w:after="160" w:line="259" w:lineRule="auto"/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C0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05B3"/>
    <w:rPr>
      <w:rFonts w:eastAsiaTheme="minorEastAsia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EC05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5B3"/>
    <w:rPr>
      <w:rFonts w:eastAsiaTheme="minorEastAsia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1451</Words>
  <Characters>8273</Characters>
  <Application>Microsoft Office Word</Application>
  <DocSecurity>0</DocSecurity>
  <Lines>68</Lines>
  <Paragraphs>19</Paragraphs>
  <ScaleCrop>false</ScaleCrop>
  <Company/>
  <LinksUpToDate>false</LinksUpToDate>
  <CharactersWithSpaces>9705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ASUS</cp:lastModifiedBy>
  <cp:revision>8</cp:revision>
  <dcterms:created xsi:type="dcterms:W3CDTF">2020-08-18T08:22:00Z</dcterms:created>
  <dcterms:modified xsi:type="dcterms:W3CDTF">2023-08-31T10:38:00Z</dcterms:modified>
</cp:coreProperties>
</file>